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93C6">
      <w:pPr>
        <w:pStyle w:val="3"/>
        <w:widowControl/>
        <w:shd w:val="clear" w:color="auto" w:fill="FFFFFF"/>
        <w:jc w:val="center"/>
        <w:rPr>
          <w:rFonts w:hint="eastAsia" w:ascii="宋体" w:hAnsi="宋体" w:eastAsia="宋体" w:cs="Tahoma"/>
          <w:b/>
          <w:bCs/>
          <w:color w:val="333333"/>
          <w:sz w:val="36"/>
          <w:szCs w:val="36"/>
          <w:lang w:val="en-US" w:eastAsia="zh-CN"/>
        </w:rPr>
      </w:pPr>
      <w:r>
        <w:rPr>
          <w:rFonts w:ascii="宋体" w:hAnsi="宋体" w:eastAsia="宋体" w:cs="Tahoma"/>
          <w:b/>
          <w:bCs/>
          <w:color w:val="333333"/>
          <w:sz w:val="36"/>
          <w:szCs w:val="36"/>
          <w:shd w:val="clear" w:color="auto" w:fill="FFFFFF"/>
        </w:rPr>
        <w:t>西门子128排CT技术维保服务</w:t>
      </w:r>
      <w:r>
        <w:rPr>
          <w:rFonts w:hint="eastAsia" w:ascii="宋体" w:hAnsi="宋体" w:eastAsia="宋体" w:cs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需求</w:t>
      </w:r>
    </w:p>
    <w:p w14:paraId="47CC67E2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维保范围：整机技术保，包含电子部分，工作站等提供技术支持。（保养：每年提供设备保养≥</w:t>
      </w:r>
      <w:r>
        <w:rPr>
          <w:rFonts w:ascii="宋体" w:hAnsi="宋体" w:eastAsia="宋体"/>
          <w:color w:val="333333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次，包含但不限于性能测试、设备清洁、运行状态检查、影像质量检查、机械、电气及冷却系统检查以及设备校准等，排除安全隐患及潜在的故障因素。每年度提供年度保养报告。）</w:t>
      </w:r>
    </w:p>
    <w:p w14:paraId="07BA2A96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服务要求</w:t>
      </w:r>
    </w:p>
    <w:p w14:paraId="0C007C09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不限次数的现场人工服务。</w:t>
      </w:r>
    </w:p>
    <w:p w14:paraId="09A319F3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如需更换的配件必须是原厂配件，且每次维保需通知院方。在每次维保结束后，设备的性能指标需满足临床诊断治疗要求和设备使用的安全性要求。</w:t>
      </w:r>
    </w:p>
    <w:p w14:paraId="512726FD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具有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</w:rPr>
        <w:t>客户服务专线，保证</w:t>
      </w:r>
      <w:r>
        <w:rPr>
          <w:rFonts w:ascii="宋体" w:hAnsi="宋体" w:eastAsia="宋体"/>
          <w:color w:val="333333"/>
          <w:shd w:val="clear" w:color="auto" w:fill="FFFFFF"/>
        </w:rPr>
        <w:t>24h*365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天客户服务专线无障碍连接。</w:t>
      </w:r>
    </w:p>
    <w:p w14:paraId="660F9C16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报修后</w:t>
      </w:r>
      <w:r>
        <w:rPr>
          <w:rFonts w:ascii="宋体" w:hAnsi="宋体" w:eastAsia="宋体"/>
          <w:color w:val="333333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分钟内电话响应，</w:t>
      </w:r>
      <w:r>
        <w:rPr>
          <w:rFonts w:ascii="宋体" w:hAnsi="宋体" w:eastAsia="宋体"/>
          <w:color w:val="333333"/>
          <w:shd w:val="clear" w:color="auto" w:fill="FFFFFF"/>
        </w:rPr>
        <w:t>12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小时内工程师到达现场维修，需要更换的零备件不超过</w:t>
      </w:r>
      <w:r>
        <w:rPr>
          <w:rFonts w:ascii="宋体" w:hAnsi="宋体" w:eastAsia="宋体"/>
          <w:color w:val="333333"/>
          <w:shd w:val="clear" w:color="auto" w:fill="FFFFFF"/>
        </w:rPr>
        <w:t>48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小时到达医院。每次维修后提供相应的维修服务单，且设备验收状态达到临床诊断要求。</w:t>
      </w:r>
    </w:p>
    <w:p w14:paraId="7FE3F292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年开机率达到 </w:t>
      </w:r>
      <w:r>
        <w:rPr>
          <w:rFonts w:ascii="宋体" w:hAnsi="宋体" w:eastAsia="宋体"/>
          <w:color w:val="333333"/>
          <w:shd w:val="clear" w:color="auto" w:fill="FFFFFF"/>
        </w:rPr>
        <w:t>95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％，每延误</w:t>
      </w:r>
      <w:r>
        <w:rPr>
          <w:rFonts w:ascii="宋体" w:hAnsi="宋体" w:eastAsia="宋体"/>
          <w:color w:val="333333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天增加延保时间</w:t>
      </w:r>
      <w:r>
        <w:rPr>
          <w:rFonts w:ascii="宋体" w:hAnsi="宋体" w:eastAsia="宋体"/>
          <w:color w:val="333333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天，当开机率＜</w:t>
      </w:r>
      <w:r>
        <w:rPr>
          <w:rFonts w:ascii="宋体" w:hAnsi="宋体" w:eastAsia="宋体"/>
          <w:color w:val="333333"/>
          <w:shd w:val="clear" w:color="auto" w:fill="FFFFFF"/>
        </w:rPr>
        <w:t>90%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时，医院有权解除与投标人的合作关系，由此造成的损失由投标人负责。</w:t>
      </w:r>
    </w:p>
    <w:p w14:paraId="66DDD189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年检时，中标人负责并保证全部监测指标达标，通过相关部门检测。</w:t>
      </w:r>
      <w:r>
        <w:rPr>
          <w:rFonts w:ascii="宋体" w:hAnsi="宋体" w:eastAsia="宋体"/>
          <w:color w:val="333333"/>
          <w:shd w:val="clear" w:color="auto" w:fill="FFFFFF"/>
        </w:rPr>
        <w:t> </w:t>
      </w:r>
    </w:p>
    <w:p w14:paraId="3888EE7B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19"/>
    <w:rsid w:val="00140531"/>
    <w:rsid w:val="00397B7B"/>
    <w:rsid w:val="005B315B"/>
    <w:rsid w:val="00697FBE"/>
    <w:rsid w:val="0077734B"/>
    <w:rsid w:val="00964C19"/>
    <w:rsid w:val="00AC6BF0"/>
    <w:rsid w:val="00AE0937"/>
    <w:rsid w:val="00C013C0"/>
    <w:rsid w:val="00EF557B"/>
    <w:rsid w:val="07C91072"/>
    <w:rsid w:val="3E901D7C"/>
    <w:rsid w:val="412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455</Characters>
  <Lines>12</Lines>
  <Paragraphs>16</Paragraphs>
  <TotalTime>27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2026-01-19T00:47:00Z</dcterms:created>
  <dc:creator>涵 林</dc:creator>
  <cp:lastModifiedBy>康超</cp:lastModifiedBy>
  <cp:lastPrinted>2026-01-28T06:36:00Z</cp:lastPrinted>
  <dcterms:modified xsi:type="dcterms:W3CDTF">2026-02-03T09:15:25Z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eyJoZGlkIjoiMWY0ZTkzOWM3MTQ3NTYxZWViN2MwOGQyZGZiMzYxMzEiLCJ1c2VySWQiOiI3ODg3MTAyODEifQ==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705B8C0A58274FF187249C90A84D6787_12</vt:lpwstr>
  </property>
</Properties>
</file>